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FFD" w:rsidRDefault="00E63FFD" w:rsidP="00E63FFD">
      <w:pPr>
        <w:pStyle w:val="NoSpacing"/>
        <w:spacing w:before="2" w:after="2"/>
        <w:rPr>
          <w:rFonts w:cs="Times New Roman"/>
          <w:b/>
          <w:sz w:val="24"/>
          <w:szCs w:val="24"/>
        </w:rPr>
      </w:pPr>
      <w:r>
        <w:rPr>
          <w:rFonts w:cs="Times New Roman"/>
          <w:b/>
          <w:sz w:val="24"/>
          <w:szCs w:val="24"/>
        </w:rPr>
        <w:t>INTERDISCIPLINARY ART EDUCATION</w:t>
      </w:r>
    </w:p>
    <w:p w:rsidR="00E63FFD" w:rsidRPr="00E63FFD" w:rsidRDefault="00E63FFD" w:rsidP="00E63FFD">
      <w:pPr>
        <w:pStyle w:val="NoSpacing"/>
        <w:spacing w:before="2" w:after="2"/>
        <w:rPr>
          <w:rFonts w:cs="Times New Roman"/>
          <w:b/>
        </w:rPr>
      </w:pPr>
    </w:p>
    <w:p w:rsidR="00360604" w:rsidRDefault="00E920C7" w:rsidP="00B07FDA">
      <w:pPr>
        <w:tabs>
          <w:tab w:val="left" w:pos="720"/>
        </w:tabs>
        <w:ind w:left="720" w:hanging="720"/>
        <w:rPr>
          <w:rFonts w:ascii="Times" w:hAnsi="Times"/>
          <w:szCs w:val="20"/>
        </w:rPr>
      </w:pPr>
      <w:proofErr w:type="spellStart"/>
      <w:r w:rsidRPr="00335D6F">
        <w:rPr>
          <w:rFonts w:ascii="Times" w:hAnsi="Times"/>
          <w:szCs w:val="20"/>
        </w:rPr>
        <w:t>Knochel</w:t>
      </w:r>
      <w:proofErr w:type="spellEnd"/>
      <w:r w:rsidRPr="00335D6F">
        <w:rPr>
          <w:rFonts w:ascii="Times" w:hAnsi="Times"/>
          <w:szCs w:val="20"/>
        </w:rPr>
        <w:t xml:space="preserve">, A. (2013). </w:t>
      </w:r>
      <w:proofErr w:type="spellStart"/>
      <w:r w:rsidRPr="00335D6F">
        <w:rPr>
          <w:rFonts w:ascii="Times" w:hAnsi="Times"/>
          <w:szCs w:val="20"/>
        </w:rPr>
        <w:t>Histochemical</w:t>
      </w:r>
      <w:proofErr w:type="spellEnd"/>
      <w:r w:rsidRPr="00335D6F">
        <w:rPr>
          <w:rFonts w:ascii="Times" w:hAnsi="Times"/>
          <w:szCs w:val="20"/>
        </w:rPr>
        <w:t xml:space="preserve"> Seeing: Scientific Visualization and Art Education. </w:t>
      </w:r>
      <w:proofErr w:type="gramStart"/>
      <w:r w:rsidRPr="00335D6F">
        <w:rPr>
          <w:rFonts w:ascii="Times" w:hAnsi="Times"/>
          <w:i/>
          <w:szCs w:val="20"/>
        </w:rPr>
        <w:t>Studies In Art Education</w:t>
      </w:r>
      <w:r w:rsidRPr="00335D6F">
        <w:rPr>
          <w:rFonts w:ascii="Times" w:hAnsi="Times"/>
          <w:szCs w:val="20"/>
        </w:rPr>
        <w:t xml:space="preserve">, </w:t>
      </w:r>
      <w:r w:rsidRPr="00335D6F">
        <w:rPr>
          <w:rFonts w:ascii="Times" w:hAnsi="Times"/>
          <w:i/>
          <w:szCs w:val="20"/>
        </w:rPr>
        <w:t>54</w:t>
      </w:r>
      <w:r w:rsidRPr="00335D6F">
        <w:rPr>
          <w:rFonts w:ascii="Times" w:hAnsi="Times"/>
          <w:szCs w:val="20"/>
        </w:rPr>
        <w:t>(2), 187-190.</w:t>
      </w:r>
      <w:proofErr w:type="gramEnd"/>
      <w:r w:rsidRPr="00335D6F">
        <w:rPr>
          <w:rFonts w:ascii="Times" w:hAnsi="Times"/>
          <w:szCs w:val="20"/>
        </w:rPr>
        <w:t xml:space="preserve"> </w:t>
      </w:r>
    </w:p>
    <w:p w:rsidR="00E63FFD" w:rsidRDefault="00E63FFD" w:rsidP="00B07FDA">
      <w:pPr>
        <w:tabs>
          <w:tab w:val="left" w:pos="720"/>
        </w:tabs>
        <w:ind w:left="720" w:hanging="720"/>
        <w:rPr>
          <w:rFonts w:ascii="Times" w:hAnsi="Times"/>
          <w:szCs w:val="20"/>
        </w:rPr>
      </w:pPr>
    </w:p>
    <w:p w:rsidR="005A18F5" w:rsidRDefault="00360604" w:rsidP="00360604">
      <w:pPr>
        <w:tabs>
          <w:tab w:val="left" w:pos="0"/>
        </w:tabs>
        <w:rPr>
          <w:rFonts w:ascii="Times" w:hAnsi="Times"/>
          <w:szCs w:val="20"/>
        </w:rPr>
      </w:pPr>
      <w:r>
        <w:rPr>
          <w:rFonts w:ascii="Times" w:hAnsi="Times"/>
          <w:szCs w:val="20"/>
        </w:rPr>
        <w:t xml:space="preserve">This study considers the use of visual art in the scientific practice of </w:t>
      </w:r>
      <w:proofErr w:type="spellStart"/>
      <w:r>
        <w:rPr>
          <w:rFonts w:ascii="Times" w:hAnsi="Times"/>
          <w:szCs w:val="20"/>
        </w:rPr>
        <w:t>histochemistry</w:t>
      </w:r>
      <w:proofErr w:type="spellEnd"/>
      <w:r>
        <w:rPr>
          <w:rFonts w:ascii="Times" w:hAnsi="Times"/>
          <w:szCs w:val="20"/>
        </w:rPr>
        <w:t xml:space="preserve">, the mapping of cells and tissues. The article outlines the connection that visualization has to both art and this scientific practice. </w:t>
      </w:r>
      <w:r w:rsidR="005A18F5">
        <w:rPr>
          <w:rFonts w:ascii="Times" w:hAnsi="Times"/>
          <w:szCs w:val="20"/>
        </w:rPr>
        <w:t xml:space="preserve">The author primarily discusses the use of </w:t>
      </w:r>
      <w:proofErr w:type="spellStart"/>
      <w:r w:rsidR="005A18F5">
        <w:rPr>
          <w:rFonts w:ascii="Times" w:hAnsi="Times"/>
          <w:szCs w:val="20"/>
        </w:rPr>
        <w:t>photoshop</w:t>
      </w:r>
      <w:proofErr w:type="spellEnd"/>
      <w:r w:rsidR="005A18F5">
        <w:rPr>
          <w:rFonts w:ascii="Times" w:hAnsi="Times"/>
          <w:szCs w:val="20"/>
        </w:rPr>
        <w:t xml:space="preserve"> as a means for scientists to reproduce and document the information gleaned from their research. However, the medical community warns that </w:t>
      </w:r>
      <w:r w:rsidR="00701AD5">
        <w:rPr>
          <w:rFonts w:ascii="Times" w:hAnsi="Times"/>
          <w:szCs w:val="20"/>
        </w:rPr>
        <w:t>there</w:t>
      </w:r>
      <w:r w:rsidR="005A18F5">
        <w:rPr>
          <w:rFonts w:ascii="Times" w:hAnsi="Times"/>
          <w:szCs w:val="20"/>
        </w:rPr>
        <w:t xml:space="preserve"> may be ethical questions raised</w:t>
      </w:r>
      <w:r w:rsidR="00701AD5">
        <w:rPr>
          <w:rFonts w:ascii="Times" w:hAnsi="Times"/>
          <w:szCs w:val="20"/>
        </w:rPr>
        <w:t xml:space="preserve"> using artistic visualization to record data</w:t>
      </w:r>
      <w:r w:rsidR="005A18F5">
        <w:rPr>
          <w:rFonts w:ascii="Times" w:hAnsi="Times"/>
          <w:szCs w:val="20"/>
        </w:rPr>
        <w:t xml:space="preserve">. Real scientific research should be based solely on what is observed, and there is a question of reality when images have been altered or created solely by a program such as </w:t>
      </w:r>
      <w:proofErr w:type="spellStart"/>
      <w:r w:rsidR="005A18F5">
        <w:rPr>
          <w:rFonts w:ascii="Times" w:hAnsi="Times"/>
          <w:szCs w:val="20"/>
        </w:rPr>
        <w:t>photoshop</w:t>
      </w:r>
      <w:proofErr w:type="spellEnd"/>
      <w:r w:rsidR="005A18F5">
        <w:rPr>
          <w:rFonts w:ascii="Times" w:hAnsi="Times"/>
          <w:szCs w:val="20"/>
        </w:rPr>
        <w:t xml:space="preserve">. </w:t>
      </w:r>
      <w:proofErr w:type="spellStart"/>
      <w:r w:rsidR="005A18F5">
        <w:rPr>
          <w:rFonts w:ascii="Times" w:hAnsi="Times"/>
          <w:szCs w:val="20"/>
        </w:rPr>
        <w:t>Knochel</w:t>
      </w:r>
      <w:proofErr w:type="spellEnd"/>
      <w:r w:rsidR="005A18F5">
        <w:rPr>
          <w:rFonts w:ascii="Times" w:hAnsi="Times"/>
          <w:szCs w:val="20"/>
        </w:rPr>
        <w:t xml:space="preserve"> proposes that the creation and manipulation of images of artists may offer insights to the scientific community, and at the same time, because of the ethical questions raised, that the art community may gain new understanding of observational and life drawing. </w:t>
      </w:r>
    </w:p>
    <w:p w:rsidR="00E920C7" w:rsidRPr="00335D6F" w:rsidRDefault="00E920C7" w:rsidP="00360604">
      <w:pPr>
        <w:tabs>
          <w:tab w:val="left" w:pos="0"/>
        </w:tabs>
        <w:rPr>
          <w:rFonts w:ascii="Times" w:hAnsi="Times"/>
          <w:szCs w:val="20"/>
        </w:rPr>
      </w:pPr>
    </w:p>
    <w:p w:rsidR="00E63FFD" w:rsidRDefault="00E63FFD" w:rsidP="00E63FFD">
      <w:pPr>
        <w:pStyle w:val="NoSpacing"/>
        <w:spacing w:before="2" w:after="2"/>
        <w:rPr>
          <w:rFonts w:cs="Times New Roman"/>
          <w:b/>
          <w:sz w:val="24"/>
          <w:szCs w:val="24"/>
        </w:rPr>
      </w:pPr>
      <w:r w:rsidRPr="00E63FFD">
        <w:rPr>
          <w:rFonts w:cs="Times New Roman"/>
          <w:b/>
          <w:sz w:val="24"/>
          <w:szCs w:val="24"/>
        </w:rPr>
        <w:t>STUDENT CENTERED CURRICULUM</w:t>
      </w:r>
    </w:p>
    <w:p w:rsidR="00E63FFD" w:rsidRPr="00E63FFD" w:rsidRDefault="00E63FFD" w:rsidP="00E63FFD">
      <w:pPr>
        <w:pStyle w:val="NoSpacing"/>
        <w:spacing w:before="2" w:after="2"/>
        <w:rPr>
          <w:rFonts w:cs="Times New Roman"/>
          <w:b/>
        </w:rPr>
      </w:pPr>
    </w:p>
    <w:p w:rsidR="00B07FDA" w:rsidRDefault="00E920C7" w:rsidP="00B07FDA">
      <w:pPr>
        <w:spacing w:beforeLines="1" w:afterLines="1"/>
        <w:ind w:left="720" w:hanging="720"/>
        <w:rPr>
          <w:rFonts w:ascii="Times" w:hAnsi="Times" w:cs="Times New Roman"/>
          <w:szCs w:val="20"/>
        </w:rPr>
      </w:pPr>
      <w:r w:rsidRPr="00335D6F">
        <w:rPr>
          <w:rFonts w:ascii="Times" w:hAnsi="Times" w:cs="Times New Roman"/>
          <w:szCs w:val="20"/>
        </w:rPr>
        <w:t xml:space="preserve">Sweeny, R. W. (2010). </w:t>
      </w:r>
      <w:proofErr w:type="spellStart"/>
      <w:r w:rsidRPr="00335D6F">
        <w:rPr>
          <w:rFonts w:ascii="Times" w:hAnsi="Times" w:cs="Times New Roman"/>
          <w:szCs w:val="20"/>
        </w:rPr>
        <w:t>Pixellated</w:t>
      </w:r>
      <w:proofErr w:type="spellEnd"/>
      <w:r w:rsidRPr="00335D6F">
        <w:rPr>
          <w:rFonts w:ascii="Times" w:hAnsi="Times" w:cs="Times New Roman"/>
          <w:szCs w:val="20"/>
        </w:rPr>
        <w:t xml:space="preserve"> Play: Practical and Theoretical Issues Regarding Videogames in Art Education. </w:t>
      </w:r>
      <w:proofErr w:type="gramStart"/>
      <w:r w:rsidRPr="00335D6F">
        <w:rPr>
          <w:rFonts w:ascii="Times" w:hAnsi="Times" w:cs="Times New Roman"/>
          <w:i/>
          <w:szCs w:val="20"/>
        </w:rPr>
        <w:t>Studies In Art Education</w:t>
      </w:r>
      <w:r w:rsidRPr="00335D6F">
        <w:rPr>
          <w:rFonts w:ascii="Times" w:hAnsi="Times" w:cs="Times New Roman"/>
          <w:szCs w:val="20"/>
        </w:rPr>
        <w:t xml:space="preserve">, </w:t>
      </w:r>
      <w:r w:rsidRPr="00335D6F">
        <w:rPr>
          <w:rFonts w:ascii="Times" w:hAnsi="Times" w:cs="Times New Roman"/>
          <w:i/>
          <w:szCs w:val="20"/>
        </w:rPr>
        <w:t>51</w:t>
      </w:r>
      <w:r w:rsidRPr="00335D6F">
        <w:rPr>
          <w:rFonts w:ascii="Times" w:hAnsi="Times" w:cs="Times New Roman"/>
          <w:szCs w:val="20"/>
        </w:rPr>
        <w:t>(3), 262-274.</w:t>
      </w:r>
      <w:proofErr w:type="gramEnd"/>
      <w:r w:rsidRPr="00335D6F">
        <w:rPr>
          <w:rFonts w:ascii="Times" w:hAnsi="Times" w:cs="Times New Roman"/>
          <w:szCs w:val="20"/>
        </w:rPr>
        <w:t xml:space="preserve"> </w:t>
      </w:r>
    </w:p>
    <w:p w:rsidR="00E63FFD" w:rsidRDefault="00E63FFD" w:rsidP="00B07FDA">
      <w:pPr>
        <w:spacing w:beforeLines="1" w:afterLines="1"/>
        <w:ind w:left="720" w:hanging="720"/>
        <w:rPr>
          <w:rFonts w:ascii="Times" w:hAnsi="Times" w:cs="Times New Roman"/>
          <w:szCs w:val="20"/>
        </w:rPr>
      </w:pPr>
    </w:p>
    <w:p w:rsidR="00E63FFD" w:rsidRPr="00B07FDA" w:rsidRDefault="00E63FFD" w:rsidP="00B07FDA">
      <w:pPr>
        <w:spacing w:beforeLines="1" w:afterLines="1"/>
        <w:rPr>
          <w:rFonts w:ascii="Times" w:hAnsi="Times" w:cs="Times New Roman"/>
          <w:szCs w:val="20"/>
        </w:rPr>
      </w:pPr>
      <w:r>
        <w:rPr>
          <w:rFonts w:ascii="Times" w:hAnsi="Times" w:cs="Times New Roman"/>
          <w:szCs w:val="20"/>
        </w:rPr>
        <w:t xml:space="preserve">The author of this article suggests that art educators should explore the ways in which their students’ lives are impacted by video games, and consider the </w:t>
      </w:r>
      <w:r w:rsidR="00B07FDA">
        <w:rPr>
          <w:rFonts w:ascii="Times" w:hAnsi="Times" w:cs="Times New Roman"/>
          <w:szCs w:val="20"/>
        </w:rPr>
        <w:t>possibility</w:t>
      </w:r>
      <w:r>
        <w:rPr>
          <w:rFonts w:ascii="Times" w:hAnsi="Times" w:cs="Times New Roman"/>
          <w:szCs w:val="20"/>
        </w:rPr>
        <w:t xml:space="preserve"> that aspects of videogame design and play could be incorporated into the art curriculum. Sweeny suggests that some videogame themes may become problematic for classroom use. </w:t>
      </w:r>
      <w:r w:rsidR="00B07FDA">
        <w:rPr>
          <w:rFonts w:ascii="Times" w:hAnsi="Times" w:cs="Times New Roman"/>
          <w:szCs w:val="20"/>
        </w:rPr>
        <w:t xml:space="preserve">Sweeny points out the potential for young students being exposed to hyper-realistic scenes that are potentially unhealthy for young people, specifically pointing out the </w:t>
      </w:r>
      <w:r w:rsidR="00B07FDA" w:rsidRPr="00B07FDA">
        <w:rPr>
          <w:rFonts w:ascii="Times" w:hAnsi="Times" w:cs="Times New Roman"/>
          <w:i/>
          <w:szCs w:val="20"/>
        </w:rPr>
        <w:t>Grand Theft Auto</w:t>
      </w:r>
      <w:r w:rsidR="00B07FDA">
        <w:rPr>
          <w:rFonts w:ascii="Times" w:hAnsi="Times" w:cs="Times New Roman"/>
          <w:i/>
          <w:szCs w:val="20"/>
        </w:rPr>
        <w:t xml:space="preserve"> series.  </w:t>
      </w:r>
      <w:r w:rsidR="00B07FDA">
        <w:rPr>
          <w:rFonts w:ascii="Times" w:hAnsi="Times" w:cs="Times New Roman"/>
          <w:szCs w:val="20"/>
        </w:rPr>
        <w:t xml:space="preserve">However, Sweeny also points out several </w:t>
      </w:r>
      <w:r w:rsidR="00701AD5">
        <w:rPr>
          <w:rFonts w:ascii="Times" w:hAnsi="Times" w:cs="Times New Roman"/>
          <w:szCs w:val="20"/>
        </w:rPr>
        <w:t>practical</w:t>
      </w:r>
      <w:r w:rsidR="00B07FDA">
        <w:rPr>
          <w:rFonts w:ascii="Times" w:hAnsi="Times" w:cs="Times New Roman"/>
          <w:szCs w:val="20"/>
        </w:rPr>
        <w:t xml:space="preserve"> applications for using video games in the classroom. One example is by showing the various ways perspective is shown in videogames, and how those compare to the varying ways multiple cultures have traditionally used perspective. Scroll-screen games such as </w:t>
      </w:r>
      <w:r w:rsidR="00B07FDA" w:rsidRPr="00B07FDA">
        <w:rPr>
          <w:rFonts w:ascii="Times" w:hAnsi="Times" w:cs="Times New Roman"/>
          <w:i/>
          <w:szCs w:val="20"/>
        </w:rPr>
        <w:t>Super Mario Brothers</w:t>
      </w:r>
      <w:r w:rsidR="00B07FDA">
        <w:rPr>
          <w:rFonts w:ascii="Times" w:hAnsi="Times" w:cs="Times New Roman"/>
          <w:szCs w:val="20"/>
        </w:rPr>
        <w:t xml:space="preserve"> are likened to ancient Egyptian mural paintings. Incorporating these types of references may help students who are immersed in videogame culture make connections to art curriculum.</w:t>
      </w:r>
    </w:p>
    <w:p w:rsidR="00335D6F" w:rsidRPr="00335D6F" w:rsidRDefault="00335D6F" w:rsidP="00E63FFD">
      <w:pPr>
        <w:spacing w:beforeLines="1" w:afterLines="1" w:line="480" w:lineRule="auto"/>
        <w:rPr>
          <w:rFonts w:ascii="Times" w:hAnsi="Times" w:cs="Times New Roman"/>
          <w:szCs w:val="20"/>
        </w:rPr>
      </w:pPr>
    </w:p>
    <w:p w:rsidR="00E63FFD" w:rsidRDefault="00E63FFD" w:rsidP="00E63FFD">
      <w:pPr>
        <w:pStyle w:val="NoSpacing"/>
        <w:spacing w:before="2" w:after="2"/>
        <w:rPr>
          <w:rFonts w:cs="Times New Roman"/>
          <w:b/>
          <w:sz w:val="24"/>
          <w:szCs w:val="24"/>
        </w:rPr>
      </w:pPr>
      <w:r w:rsidRPr="00E63FFD">
        <w:rPr>
          <w:rFonts w:cs="Times New Roman"/>
          <w:b/>
          <w:sz w:val="24"/>
          <w:szCs w:val="24"/>
        </w:rPr>
        <w:t>CULTURALLY RELEVANCY OR VISUAL CULTURE</w:t>
      </w:r>
    </w:p>
    <w:p w:rsidR="00E63FFD" w:rsidRPr="00E63FFD" w:rsidRDefault="00E63FFD" w:rsidP="00E63FFD">
      <w:pPr>
        <w:pStyle w:val="NoSpacing"/>
        <w:spacing w:before="2" w:after="2"/>
        <w:rPr>
          <w:rFonts w:cs="Times New Roman"/>
          <w:b/>
        </w:rPr>
      </w:pPr>
    </w:p>
    <w:p w:rsidR="00E920C7" w:rsidRPr="00335D6F" w:rsidRDefault="00E920C7" w:rsidP="00B07FDA">
      <w:pPr>
        <w:spacing w:beforeLines="1" w:afterLines="1"/>
        <w:ind w:left="720" w:hanging="720"/>
        <w:rPr>
          <w:rFonts w:ascii="Times" w:hAnsi="Times" w:cs="Times New Roman"/>
          <w:szCs w:val="20"/>
        </w:rPr>
      </w:pPr>
      <w:proofErr w:type="gramStart"/>
      <w:r w:rsidRPr="00335D6F">
        <w:rPr>
          <w:rFonts w:ascii="Times" w:hAnsi="Times" w:cs="Times New Roman"/>
          <w:szCs w:val="20"/>
        </w:rPr>
        <w:t xml:space="preserve">Freedman, K., </w:t>
      </w:r>
      <w:proofErr w:type="spellStart"/>
      <w:r w:rsidRPr="00335D6F">
        <w:rPr>
          <w:rFonts w:ascii="Times" w:hAnsi="Times" w:cs="Times New Roman"/>
          <w:szCs w:val="20"/>
        </w:rPr>
        <w:t>Heunen</w:t>
      </w:r>
      <w:proofErr w:type="spellEnd"/>
      <w:r w:rsidRPr="00335D6F">
        <w:rPr>
          <w:rFonts w:ascii="Times" w:hAnsi="Times" w:cs="Times New Roman"/>
          <w:szCs w:val="20"/>
        </w:rPr>
        <w:t xml:space="preserve">, E., </w:t>
      </w:r>
      <w:proofErr w:type="spellStart"/>
      <w:r w:rsidRPr="00335D6F">
        <w:rPr>
          <w:rFonts w:ascii="Times" w:hAnsi="Times" w:cs="Times New Roman"/>
          <w:szCs w:val="20"/>
        </w:rPr>
        <w:t>Kallio-Tavin</w:t>
      </w:r>
      <w:proofErr w:type="spellEnd"/>
      <w:r w:rsidRPr="00335D6F">
        <w:rPr>
          <w:rFonts w:ascii="Times" w:hAnsi="Times" w:cs="Times New Roman"/>
          <w:szCs w:val="20"/>
        </w:rPr>
        <w:t xml:space="preserve">, M., </w:t>
      </w:r>
      <w:proofErr w:type="spellStart"/>
      <w:r w:rsidRPr="00335D6F">
        <w:rPr>
          <w:rFonts w:ascii="Times" w:hAnsi="Times" w:cs="Times New Roman"/>
          <w:szCs w:val="20"/>
        </w:rPr>
        <w:t>Karpati</w:t>
      </w:r>
      <w:proofErr w:type="spellEnd"/>
      <w:r w:rsidRPr="00335D6F">
        <w:rPr>
          <w:rFonts w:ascii="Times" w:hAnsi="Times" w:cs="Times New Roman"/>
          <w:szCs w:val="20"/>
        </w:rPr>
        <w:t>, A., &amp; Papp, L. (2013).</w:t>
      </w:r>
      <w:proofErr w:type="gramEnd"/>
      <w:r w:rsidRPr="00335D6F">
        <w:rPr>
          <w:rFonts w:ascii="Times" w:hAnsi="Times" w:cs="Times New Roman"/>
          <w:szCs w:val="20"/>
        </w:rPr>
        <w:t xml:space="preserve"> Visual Culture Learning Communities: How and What Students Come to Know in Informal Art Groups. </w:t>
      </w:r>
      <w:proofErr w:type="gramStart"/>
      <w:r w:rsidRPr="00335D6F">
        <w:rPr>
          <w:rFonts w:ascii="Times" w:hAnsi="Times" w:cs="Times New Roman"/>
          <w:i/>
          <w:szCs w:val="20"/>
        </w:rPr>
        <w:t>Studies In Art Education</w:t>
      </w:r>
      <w:r w:rsidRPr="00335D6F">
        <w:rPr>
          <w:rFonts w:ascii="Times" w:hAnsi="Times" w:cs="Times New Roman"/>
          <w:szCs w:val="20"/>
        </w:rPr>
        <w:t xml:space="preserve">, </w:t>
      </w:r>
      <w:r w:rsidRPr="00335D6F">
        <w:rPr>
          <w:rFonts w:ascii="Times" w:hAnsi="Times" w:cs="Times New Roman"/>
          <w:i/>
          <w:szCs w:val="20"/>
        </w:rPr>
        <w:t>54</w:t>
      </w:r>
      <w:r w:rsidRPr="00335D6F">
        <w:rPr>
          <w:rFonts w:ascii="Times" w:hAnsi="Times" w:cs="Times New Roman"/>
          <w:szCs w:val="20"/>
        </w:rPr>
        <w:t>(2), 103-115.</w:t>
      </w:r>
      <w:proofErr w:type="gramEnd"/>
      <w:r w:rsidRPr="00335D6F">
        <w:rPr>
          <w:rFonts w:ascii="Times" w:hAnsi="Times" w:cs="Times New Roman"/>
          <w:szCs w:val="20"/>
        </w:rPr>
        <w:t xml:space="preserve"> </w:t>
      </w:r>
    </w:p>
    <w:p w:rsidR="00B07FDA" w:rsidRDefault="00B07FDA" w:rsidP="00E920C7">
      <w:pPr>
        <w:spacing w:line="480" w:lineRule="auto"/>
      </w:pPr>
    </w:p>
    <w:p w:rsidR="00E920C7" w:rsidRPr="00335D6F" w:rsidRDefault="00B07FDA" w:rsidP="002E72C6">
      <w:r>
        <w:t xml:space="preserve">This </w:t>
      </w:r>
      <w:r w:rsidR="002E72C6">
        <w:t xml:space="preserve">international </w:t>
      </w:r>
      <w:r>
        <w:t>study focuses on adolesce</w:t>
      </w:r>
      <w:r w:rsidR="002E72C6">
        <w:t>nts and young adults from five cities around the world, and their formation of informal Visual Culture</w:t>
      </w:r>
      <w:r w:rsidR="00360604">
        <w:t xml:space="preserve"> Learning</w:t>
      </w:r>
      <w:r w:rsidR="002E72C6">
        <w:t xml:space="preserve"> Communities, or </w:t>
      </w:r>
      <w:proofErr w:type="spellStart"/>
      <w:r w:rsidR="002E72C6">
        <w:t>VC</w:t>
      </w:r>
      <w:r w:rsidR="00360604">
        <w:t>L</w:t>
      </w:r>
      <w:r w:rsidR="002E72C6">
        <w:t>Cs</w:t>
      </w:r>
      <w:proofErr w:type="spellEnd"/>
      <w:r w:rsidR="002E72C6">
        <w:t>.  A Visual Culture</w:t>
      </w:r>
      <w:r w:rsidR="00360604">
        <w:t xml:space="preserve"> Learning</w:t>
      </w:r>
      <w:r w:rsidR="002E72C6">
        <w:t xml:space="preserve"> Community is a group of people who form bonds, us</w:t>
      </w:r>
      <w:r w:rsidR="00360604">
        <w:t xml:space="preserve">ually online through </w:t>
      </w:r>
      <w:r w:rsidR="002E72C6">
        <w:t>discussion boards</w:t>
      </w:r>
      <w:r w:rsidR="00360604">
        <w:t xml:space="preserve"> and other social media sights</w:t>
      </w:r>
      <w:r w:rsidR="002E72C6">
        <w:t xml:space="preserve">. The research suggests that in a culture surrounded by information, these self-forming groups help students engage in learning and placing information into social context. Some groups are formed around long-standing ideas, such as ethnic culture or religion, where as some groups are based on common interests such as a particular movie or video game. </w:t>
      </w:r>
      <w:proofErr w:type="spellStart"/>
      <w:r w:rsidR="002E72C6">
        <w:t>VC</w:t>
      </w:r>
      <w:r w:rsidR="00360604">
        <w:t>L</w:t>
      </w:r>
      <w:r w:rsidR="002E72C6">
        <w:t>Cs</w:t>
      </w:r>
      <w:proofErr w:type="spellEnd"/>
      <w:r w:rsidR="002E72C6">
        <w:t xml:space="preserve"> have their own types of language, costumes, and art. </w:t>
      </w:r>
      <w:proofErr w:type="spellStart"/>
      <w:r w:rsidR="002E72C6">
        <w:t>Cosplay</w:t>
      </w:r>
      <w:proofErr w:type="spellEnd"/>
      <w:r w:rsidR="002E72C6">
        <w:t xml:space="preserve"> and </w:t>
      </w:r>
      <w:proofErr w:type="spellStart"/>
      <w:r w:rsidR="002E72C6">
        <w:t>f</w:t>
      </w:r>
      <w:r w:rsidR="00360604">
        <w:t>anart</w:t>
      </w:r>
      <w:proofErr w:type="spellEnd"/>
      <w:r w:rsidR="00360604">
        <w:t xml:space="preserve"> art are products of </w:t>
      </w:r>
      <w:proofErr w:type="spellStart"/>
      <w:r w:rsidR="00360604">
        <w:t>VCLCs</w:t>
      </w:r>
      <w:proofErr w:type="spellEnd"/>
      <w:r w:rsidR="00360604">
        <w:t xml:space="preserve">, as well as many types of </w:t>
      </w:r>
      <w:proofErr w:type="spellStart"/>
      <w:r w:rsidR="00360604">
        <w:t>freeshare</w:t>
      </w:r>
      <w:proofErr w:type="spellEnd"/>
      <w:r w:rsidR="00360604">
        <w:t xml:space="preserve"> media and apps. Members of </w:t>
      </w:r>
      <w:proofErr w:type="spellStart"/>
      <w:r w:rsidR="00360604">
        <w:t>VCLCs</w:t>
      </w:r>
      <w:proofErr w:type="spellEnd"/>
      <w:r w:rsidR="00360604">
        <w:t xml:space="preserve"> participating in the study discuss their involvement in the groups and their motivation for belonging to the group. They come together to learn as much about a particular piece of their visual culture as possible, and also how they can influence and enhance it.</w:t>
      </w:r>
    </w:p>
    <w:sectPr w:rsidR="00E920C7" w:rsidRPr="00335D6F" w:rsidSect="00E920C7">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04" w:rsidRDefault="00360604">
    <w:pPr>
      <w:pStyle w:val="Header"/>
    </w:pPr>
    <w:r>
      <w:t>ART812-Annotated Bibliography</w:t>
    </w:r>
    <w:r>
      <w:tab/>
    </w:r>
    <w:r>
      <w:tab/>
      <w:t>Staci Simonsen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920C7"/>
    <w:rsid w:val="002E72C6"/>
    <w:rsid w:val="00335D6F"/>
    <w:rsid w:val="00360604"/>
    <w:rsid w:val="005A18F5"/>
    <w:rsid w:val="00701AD5"/>
    <w:rsid w:val="00B07FDA"/>
    <w:rsid w:val="00E63FFD"/>
    <w:rsid w:val="00E920C7"/>
  </w:rsids>
  <m:mathPr>
    <m:mathFont m:val="Adobe Garamond Pro Bol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D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medium-normal">
    <w:name w:val="medium-normal"/>
    <w:basedOn w:val="DefaultParagraphFont"/>
    <w:rsid w:val="00E920C7"/>
  </w:style>
  <w:style w:type="paragraph" w:styleId="NormalWeb">
    <w:name w:val="Normal (Web)"/>
    <w:basedOn w:val="Normal"/>
    <w:uiPriority w:val="99"/>
    <w:rsid w:val="00E920C7"/>
    <w:pPr>
      <w:spacing w:beforeLines="1" w:afterLines="1"/>
    </w:pPr>
    <w:rPr>
      <w:rFonts w:ascii="Times" w:hAnsi="Times" w:cs="Times New Roman"/>
      <w:sz w:val="20"/>
      <w:szCs w:val="20"/>
    </w:rPr>
  </w:style>
  <w:style w:type="paragraph" w:styleId="NoSpacing">
    <w:name w:val="No Spacing"/>
    <w:basedOn w:val="Normal"/>
    <w:uiPriority w:val="1"/>
    <w:rsid w:val="00E63FFD"/>
    <w:pPr>
      <w:spacing w:beforeLines="1" w:afterLines="1"/>
    </w:pPr>
    <w:rPr>
      <w:rFonts w:ascii="Times" w:hAnsi="Times"/>
      <w:sz w:val="20"/>
      <w:szCs w:val="20"/>
    </w:rPr>
  </w:style>
  <w:style w:type="paragraph" w:styleId="Header">
    <w:name w:val="header"/>
    <w:basedOn w:val="Normal"/>
    <w:link w:val="HeaderChar"/>
    <w:uiPriority w:val="99"/>
    <w:semiHidden/>
    <w:unhideWhenUsed/>
    <w:rsid w:val="00360604"/>
    <w:pPr>
      <w:tabs>
        <w:tab w:val="center" w:pos="4320"/>
        <w:tab w:val="right" w:pos="8640"/>
      </w:tabs>
    </w:pPr>
  </w:style>
  <w:style w:type="character" w:customStyle="1" w:styleId="HeaderChar">
    <w:name w:val="Header Char"/>
    <w:basedOn w:val="DefaultParagraphFont"/>
    <w:link w:val="Header"/>
    <w:uiPriority w:val="99"/>
    <w:semiHidden/>
    <w:rsid w:val="00360604"/>
    <w:rPr>
      <w:sz w:val="24"/>
      <w:szCs w:val="24"/>
    </w:rPr>
  </w:style>
  <w:style w:type="paragraph" w:styleId="Footer">
    <w:name w:val="footer"/>
    <w:basedOn w:val="Normal"/>
    <w:link w:val="FooterChar"/>
    <w:uiPriority w:val="99"/>
    <w:semiHidden/>
    <w:unhideWhenUsed/>
    <w:rsid w:val="00360604"/>
    <w:pPr>
      <w:tabs>
        <w:tab w:val="center" w:pos="4320"/>
        <w:tab w:val="right" w:pos="8640"/>
      </w:tabs>
    </w:pPr>
  </w:style>
  <w:style w:type="character" w:customStyle="1" w:styleId="FooterChar">
    <w:name w:val="Footer Char"/>
    <w:basedOn w:val="DefaultParagraphFont"/>
    <w:link w:val="Footer"/>
    <w:uiPriority w:val="99"/>
    <w:semiHidden/>
    <w:rsid w:val="00360604"/>
    <w:rPr>
      <w:sz w:val="24"/>
      <w:szCs w:val="24"/>
    </w:rPr>
  </w:style>
</w:styles>
</file>

<file path=word/webSettings.xml><?xml version="1.0" encoding="utf-8"?>
<w:webSettings xmlns:r="http://schemas.openxmlformats.org/officeDocument/2006/relationships" xmlns:w="http://schemas.openxmlformats.org/wordprocessingml/2006/main">
  <w:divs>
    <w:div w:id="101413174">
      <w:bodyDiv w:val="1"/>
      <w:marLeft w:val="0"/>
      <w:marRight w:val="0"/>
      <w:marTop w:val="0"/>
      <w:marBottom w:val="0"/>
      <w:divBdr>
        <w:top w:val="none" w:sz="0" w:space="0" w:color="auto"/>
        <w:left w:val="none" w:sz="0" w:space="0" w:color="auto"/>
        <w:bottom w:val="none" w:sz="0" w:space="0" w:color="auto"/>
        <w:right w:val="none" w:sz="0" w:space="0" w:color="auto"/>
      </w:divBdr>
    </w:div>
    <w:div w:id="134221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1014</TotalTime>
  <Pages>2</Pages>
  <Words>432</Words>
  <Characters>2467</Characters>
  <Application>Microsoft Macintosh Word</Application>
  <DocSecurity>0</DocSecurity>
  <Lines>20</Lines>
  <Paragraphs>4</Paragraphs>
  <ScaleCrop>false</ScaleCrop>
  <Company>Wahoo Public Schools</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Simonsen</dc:creator>
  <cp:keywords/>
  <cp:lastModifiedBy>Staci Simonsen</cp:lastModifiedBy>
  <cp:revision>2</cp:revision>
  <dcterms:created xsi:type="dcterms:W3CDTF">2013-10-08T18:54:00Z</dcterms:created>
  <dcterms:modified xsi:type="dcterms:W3CDTF">2013-10-13T19:40:00Z</dcterms:modified>
</cp:coreProperties>
</file>